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F7CE3" w14:textId="3DB63C64" w:rsidR="00600DFC" w:rsidRPr="00600DFC" w:rsidRDefault="00600DFC" w:rsidP="00600DFC">
      <w:r w:rsidRPr="00600DFC">
        <w:t>Dear Sir / Madam,</w:t>
      </w:r>
    </w:p>
    <w:p w14:paraId="1B809BC0" w14:textId="6B1C74B5" w:rsidR="00600DFC" w:rsidRPr="00600DFC" w:rsidRDefault="00600DFC" w:rsidP="00600DFC">
      <w:r w:rsidRPr="00600DFC">
        <w:rPr>
          <w:b/>
          <w:bCs/>
        </w:rPr>
        <w:t>Pls find mentioned suggestions for the exposure draft  for </w:t>
      </w:r>
      <w:r w:rsidRPr="00600DFC">
        <w:t>Amendments to the Fair Value Option for Investments in Associates and Joint Ventures.</w:t>
      </w:r>
    </w:p>
    <w:p w14:paraId="2FE3D33E" w14:textId="77777777" w:rsidR="00600DFC" w:rsidRPr="00600DFC" w:rsidRDefault="00600DFC" w:rsidP="00600DFC">
      <w:pPr>
        <w:rPr>
          <w:b/>
          <w:bCs/>
        </w:rPr>
      </w:pPr>
      <w:r w:rsidRPr="00600DFC">
        <w:rPr>
          <w:b/>
          <w:bCs/>
        </w:rPr>
        <w:t>1. Need for Principle-Based Approach instead of Entity-Based Restriction</w:t>
      </w:r>
    </w:p>
    <w:p w14:paraId="522BB7BB" w14:textId="77777777" w:rsidR="00600DFC" w:rsidRPr="00600DFC" w:rsidRDefault="00600DFC" w:rsidP="00600DFC">
      <w:r w:rsidRPr="00600DFC">
        <w:rPr>
          <w:b/>
          <w:bCs/>
        </w:rPr>
        <w:t>Comment:</w:t>
      </w:r>
      <w:r w:rsidRPr="00600DFC">
        <w:br/>
        <w:t>The Exposure Draft continues to restrict the availability of the fair value option to specific types of entities (e.g., venture capital organizations, investment entities, etc.), even after clarification.</w:t>
      </w:r>
    </w:p>
    <w:p w14:paraId="72346256" w14:textId="77777777" w:rsidR="00600DFC" w:rsidRPr="00600DFC" w:rsidRDefault="00600DFC" w:rsidP="00600DFC">
      <w:r w:rsidRPr="00600DFC">
        <w:rPr>
          <w:b/>
          <w:bCs/>
        </w:rPr>
        <w:t>Suggestion for Improvement:</w:t>
      </w:r>
      <w:r w:rsidRPr="00600DFC">
        <w:br/>
        <w:t>IASB should consider adopting a </w:t>
      </w:r>
      <w:r w:rsidRPr="00600DFC">
        <w:rPr>
          <w:b/>
          <w:bCs/>
        </w:rPr>
        <w:t>principle-based approach</w:t>
      </w:r>
      <w:r w:rsidRPr="00600DFC">
        <w:t> rather than an </w:t>
      </w:r>
      <w:r w:rsidRPr="00600DFC">
        <w:rPr>
          <w:b/>
          <w:bCs/>
        </w:rPr>
        <w:t>entity-type-based eligibility</w:t>
      </w:r>
      <w:r w:rsidRPr="00600DFC">
        <w:t>.</w:t>
      </w:r>
    </w:p>
    <w:p w14:paraId="5EAD828A" w14:textId="77777777" w:rsidR="00600DFC" w:rsidRPr="00600DFC" w:rsidRDefault="00600DFC" w:rsidP="00600DFC">
      <w:r w:rsidRPr="00600DFC">
        <w:rPr>
          <w:b/>
          <w:bCs/>
        </w:rPr>
        <w:t>Reason:</w:t>
      </w:r>
    </w:p>
    <w:p w14:paraId="4175C75E" w14:textId="77777777" w:rsidR="00600DFC" w:rsidRPr="00600DFC" w:rsidRDefault="00600DFC" w:rsidP="00600DFC">
      <w:pPr>
        <w:numPr>
          <w:ilvl w:val="0"/>
          <w:numId w:val="1"/>
        </w:numPr>
      </w:pPr>
      <w:r w:rsidRPr="00600DFC">
        <w:t>Current approach leads to </w:t>
      </w:r>
      <w:r w:rsidRPr="00600DFC">
        <w:rPr>
          <w:b/>
          <w:bCs/>
        </w:rPr>
        <w:t>financial reporting bias</w:t>
      </w:r>
      <w:r w:rsidRPr="00600DFC">
        <w:t> and inconsistency.</w:t>
      </w:r>
    </w:p>
    <w:p w14:paraId="5E6E35D1" w14:textId="77777777" w:rsidR="00600DFC" w:rsidRPr="00600DFC" w:rsidRDefault="00600DFC" w:rsidP="00600DFC">
      <w:pPr>
        <w:numPr>
          <w:ilvl w:val="0"/>
          <w:numId w:val="1"/>
        </w:numPr>
      </w:pPr>
      <w:r w:rsidRPr="00600DFC">
        <w:t>Even IASB members have expressed concern that restricting the option to certain entities lacks conceptual justification.</w:t>
      </w:r>
    </w:p>
    <w:p w14:paraId="45137681" w14:textId="77777777" w:rsidR="00600DFC" w:rsidRPr="00600DFC" w:rsidRDefault="00600DFC" w:rsidP="00600DFC">
      <w:pPr>
        <w:numPr>
          <w:ilvl w:val="0"/>
          <w:numId w:val="1"/>
        </w:numPr>
      </w:pPr>
      <w:r w:rsidRPr="00600DFC">
        <w:t>Similar transactions may be accounted differently depending on the nature of the entity, which reduces comparability.</w:t>
      </w:r>
    </w:p>
    <w:p w14:paraId="16B61C11" w14:textId="77777777" w:rsidR="00600DFC" w:rsidRPr="00600DFC" w:rsidRDefault="00600DFC" w:rsidP="00600DFC">
      <w:r w:rsidRPr="00600DFC">
        <w:rPr>
          <w:b/>
          <w:bCs/>
        </w:rPr>
        <w:t>Recommendation:</w:t>
      </w:r>
      <w:r w:rsidRPr="00600DFC">
        <w:t> Allow fair value option based on </w:t>
      </w:r>
      <w:r w:rsidRPr="00600DFC">
        <w:rPr>
          <w:b/>
          <w:bCs/>
        </w:rPr>
        <w:t>business model and relevance of fair value</w:t>
      </w:r>
      <w:r w:rsidRPr="00600DFC">
        <w:t>, not merely entity classification.</w:t>
      </w:r>
    </w:p>
    <w:p w14:paraId="635F6C8D" w14:textId="77777777" w:rsidR="00600DFC" w:rsidRPr="00600DFC" w:rsidRDefault="00600DFC" w:rsidP="00600DFC">
      <w:r w:rsidRPr="00600DFC">
        <w:pict w14:anchorId="6079F48D">
          <v:rect id="_x0000_i1037" style="width:0;height:1.5pt" o:hralign="center" o:hrstd="t" o:hr="t" fillcolor="#a0a0a0" stroked="f"/>
        </w:pict>
      </w:r>
    </w:p>
    <w:p w14:paraId="5ED435C9" w14:textId="77777777" w:rsidR="00600DFC" w:rsidRPr="00600DFC" w:rsidRDefault="00600DFC" w:rsidP="00600DFC">
      <w:pPr>
        <w:rPr>
          <w:b/>
          <w:bCs/>
        </w:rPr>
      </w:pPr>
      <w:r w:rsidRPr="00600DFC">
        <w:rPr>
          <w:b/>
          <w:bCs/>
        </w:rPr>
        <w:t>2. Lack of Clarity on “Unit of Account” for Fair Value Measurement</w:t>
      </w:r>
    </w:p>
    <w:p w14:paraId="0E2054B0" w14:textId="77777777" w:rsidR="00600DFC" w:rsidRPr="00600DFC" w:rsidRDefault="00600DFC" w:rsidP="00600DFC">
      <w:r w:rsidRPr="00600DFC">
        <w:rPr>
          <w:b/>
          <w:bCs/>
        </w:rPr>
        <w:t>Comment:</w:t>
      </w:r>
      <w:r w:rsidRPr="00600DFC">
        <w:br/>
        <w:t>The Exposure Draft does not adequately address how fair value should be measured for investments in associates—specifically whether it should be:</w:t>
      </w:r>
    </w:p>
    <w:p w14:paraId="095D904C" w14:textId="77777777" w:rsidR="00600DFC" w:rsidRPr="00600DFC" w:rsidRDefault="00600DFC" w:rsidP="00600DFC">
      <w:pPr>
        <w:numPr>
          <w:ilvl w:val="0"/>
          <w:numId w:val="2"/>
        </w:numPr>
      </w:pPr>
      <w:r w:rsidRPr="00600DFC">
        <w:t>based on </w:t>
      </w:r>
      <w:r w:rsidRPr="00600DFC">
        <w:rPr>
          <w:b/>
          <w:bCs/>
        </w:rPr>
        <w:t>individual shares</w:t>
      </w:r>
      <w:r w:rsidRPr="00600DFC">
        <w:t>, or</w:t>
      </w:r>
    </w:p>
    <w:p w14:paraId="65757B77" w14:textId="77777777" w:rsidR="00600DFC" w:rsidRPr="00600DFC" w:rsidRDefault="00600DFC" w:rsidP="00600DFC">
      <w:pPr>
        <w:numPr>
          <w:ilvl w:val="0"/>
          <w:numId w:val="2"/>
        </w:numPr>
      </w:pPr>
      <w:r w:rsidRPr="00600DFC">
        <w:t>the </w:t>
      </w:r>
      <w:r w:rsidRPr="00600DFC">
        <w:rPr>
          <w:b/>
          <w:bCs/>
        </w:rPr>
        <w:t>entire investment (including goodwill/premium)</w:t>
      </w:r>
      <w:r w:rsidRPr="00600DFC">
        <w:t>.</w:t>
      </w:r>
    </w:p>
    <w:p w14:paraId="670E657C" w14:textId="77777777" w:rsidR="00600DFC" w:rsidRPr="00600DFC" w:rsidRDefault="00600DFC" w:rsidP="00600DFC">
      <w:r w:rsidRPr="00600DFC">
        <w:rPr>
          <w:b/>
          <w:bCs/>
        </w:rPr>
        <w:t>Suggestion for Improvement:</w:t>
      </w:r>
      <w:r w:rsidRPr="00600DFC">
        <w:br/>
        <w:t>IASB should explicitly define the </w:t>
      </w:r>
      <w:r w:rsidRPr="00600DFC">
        <w:rPr>
          <w:b/>
          <w:bCs/>
        </w:rPr>
        <w:t>unit of account</w:t>
      </w:r>
      <w:r w:rsidRPr="00600DFC">
        <w:t> for fair value measurement under IAS 28.</w:t>
      </w:r>
    </w:p>
    <w:p w14:paraId="2E583D69" w14:textId="77777777" w:rsidR="00600DFC" w:rsidRPr="00600DFC" w:rsidRDefault="00600DFC" w:rsidP="00600DFC">
      <w:r w:rsidRPr="00600DFC">
        <w:rPr>
          <w:b/>
          <w:bCs/>
        </w:rPr>
        <w:t>Reason:</w:t>
      </w:r>
    </w:p>
    <w:p w14:paraId="0A38A630" w14:textId="77777777" w:rsidR="00600DFC" w:rsidRPr="00600DFC" w:rsidRDefault="00600DFC" w:rsidP="00600DFC">
      <w:pPr>
        <w:numPr>
          <w:ilvl w:val="0"/>
          <w:numId w:val="3"/>
        </w:numPr>
      </w:pPr>
      <w:r w:rsidRPr="00600DFC">
        <w:lastRenderedPageBreak/>
        <w:t>Absence of clarity may lead to </w:t>
      </w:r>
      <w:r w:rsidRPr="00600DFC">
        <w:rPr>
          <w:b/>
          <w:bCs/>
        </w:rPr>
        <w:t>inconsistent impairment assessment and valuation practices</w:t>
      </w:r>
      <w:r w:rsidRPr="00600DFC">
        <w:t>.</w:t>
      </w:r>
    </w:p>
    <w:p w14:paraId="3A4C2607" w14:textId="77777777" w:rsidR="00600DFC" w:rsidRPr="00600DFC" w:rsidRDefault="00600DFC" w:rsidP="00600DFC">
      <w:pPr>
        <w:numPr>
          <w:ilvl w:val="0"/>
          <w:numId w:val="3"/>
        </w:numPr>
      </w:pPr>
      <w:r w:rsidRPr="00600DFC">
        <w:t>This issue has already been highlighted by stakeholders in earlier comment letters.</w:t>
      </w:r>
    </w:p>
    <w:p w14:paraId="165BA2ED" w14:textId="77777777" w:rsidR="00600DFC" w:rsidRPr="00600DFC" w:rsidRDefault="00600DFC" w:rsidP="00600DFC">
      <w:r w:rsidRPr="00600DFC">
        <w:rPr>
          <w:b/>
          <w:bCs/>
        </w:rPr>
        <w:t>Recommendation:</w:t>
      </w:r>
      <w:r w:rsidRPr="00600DFC">
        <w:t> Provide guidance that fair value should reflect the </w:t>
      </w:r>
      <w:r w:rsidRPr="00600DFC">
        <w:rPr>
          <w:b/>
          <w:bCs/>
        </w:rPr>
        <w:t>entire investment as a business interest</w:t>
      </w:r>
      <w:r w:rsidRPr="00600DFC">
        <w:t>, not just quoted share price.</w:t>
      </w:r>
    </w:p>
    <w:p w14:paraId="54862368" w14:textId="77777777" w:rsidR="00600DFC" w:rsidRPr="00600DFC" w:rsidRDefault="00600DFC" w:rsidP="00600DFC">
      <w:r w:rsidRPr="00600DFC">
        <w:pict w14:anchorId="41A7B1F2">
          <v:rect id="_x0000_i1038" style="width:0;height:1.5pt" o:hralign="center" o:hrstd="t" o:hr="t" fillcolor="#a0a0a0" stroked="f"/>
        </w:pict>
      </w:r>
    </w:p>
    <w:p w14:paraId="3909274C" w14:textId="77777777" w:rsidR="00600DFC" w:rsidRPr="00600DFC" w:rsidRDefault="00600DFC" w:rsidP="00600DFC">
      <w:pPr>
        <w:rPr>
          <w:b/>
          <w:bCs/>
        </w:rPr>
      </w:pPr>
      <w:r w:rsidRPr="00600DFC">
        <w:rPr>
          <w:b/>
          <w:bCs/>
        </w:rPr>
        <w:t>3. Insufficient Guidance on Interaction with IFRS 18 (Presentation Issues)</w:t>
      </w:r>
    </w:p>
    <w:p w14:paraId="2F355245" w14:textId="77777777" w:rsidR="00600DFC" w:rsidRPr="00600DFC" w:rsidRDefault="00600DFC" w:rsidP="00600DFC">
      <w:r w:rsidRPr="00600DFC">
        <w:rPr>
          <w:b/>
          <w:bCs/>
        </w:rPr>
        <w:t>Comment:</w:t>
      </w:r>
      <w:r w:rsidRPr="00600DFC">
        <w:br/>
        <w:t>While the Exposure Draft aims to reduce diversity due to IFRS 18 implementation, it does not provide </w:t>
      </w:r>
      <w:r w:rsidRPr="00600DFC">
        <w:rPr>
          <w:b/>
          <w:bCs/>
        </w:rPr>
        <w:t>detailed guidance on presentation and classification of gains/losses</w:t>
      </w:r>
      <w:r w:rsidRPr="00600DFC">
        <w:t>.</w:t>
      </w:r>
    </w:p>
    <w:p w14:paraId="2BA1FBBB" w14:textId="77777777" w:rsidR="00600DFC" w:rsidRPr="00600DFC" w:rsidRDefault="00600DFC" w:rsidP="00600DFC">
      <w:r w:rsidRPr="00600DFC">
        <w:rPr>
          <w:b/>
          <w:bCs/>
        </w:rPr>
        <w:t>Suggestion for Improvement:</w:t>
      </w:r>
      <w:r w:rsidRPr="00600DFC">
        <w:br/>
        <w:t>IASB should include </w:t>
      </w:r>
      <w:r w:rsidRPr="00600DFC">
        <w:rPr>
          <w:b/>
          <w:bCs/>
        </w:rPr>
        <w:t>illustrative examples or application guidance</w:t>
      </w:r>
      <w:r w:rsidRPr="00600DFC">
        <w:t> showing:</w:t>
      </w:r>
    </w:p>
    <w:p w14:paraId="00430689" w14:textId="77777777" w:rsidR="00600DFC" w:rsidRPr="00600DFC" w:rsidRDefault="00600DFC" w:rsidP="00600DFC">
      <w:pPr>
        <w:numPr>
          <w:ilvl w:val="0"/>
          <w:numId w:val="4"/>
        </w:numPr>
      </w:pPr>
      <w:r w:rsidRPr="00600DFC">
        <w:t>classification in profit or loss (operating vs investing),</w:t>
      </w:r>
    </w:p>
    <w:p w14:paraId="265E61D4" w14:textId="77777777" w:rsidR="00600DFC" w:rsidRPr="00600DFC" w:rsidRDefault="00600DFC" w:rsidP="00600DFC">
      <w:pPr>
        <w:numPr>
          <w:ilvl w:val="0"/>
          <w:numId w:val="4"/>
        </w:numPr>
      </w:pPr>
      <w:r w:rsidRPr="00600DFC">
        <w:t>impact of choosing fair value vs equity method.</w:t>
      </w:r>
    </w:p>
    <w:p w14:paraId="0DDBD45E" w14:textId="77777777" w:rsidR="00600DFC" w:rsidRPr="00600DFC" w:rsidRDefault="00600DFC" w:rsidP="00600DFC">
      <w:r w:rsidRPr="00600DFC">
        <w:rPr>
          <w:b/>
          <w:bCs/>
        </w:rPr>
        <w:t>Reason:</w:t>
      </w:r>
    </w:p>
    <w:p w14:paraId="456ECD8D" w14:textId="77777777" w:rsidR="00600DFC" w:rsidRPr="00600DFC" w:rsidRDefault="00600DFC" w:rsidP="00600DFC">
      <w:pPr>
        <w:numPr>
          <w:ilvl w:val="0"/>
          <w:numId w:val="5"/>
        </w:numPr>
      </w:pPr>
      <w:r w:rsidRPr="00600DFC">
        <w:t>One of the main reasons for amendment is </w:t>
      </w:r>
      <w:r w:rsidRPr="00600DFC">
        <w:rPr>
          <w:b/>
          <w:bCs/>
        </w:rPr>
        <w:t>diversity in classification of income and expenses</w:t>
      </w:r>
      <w:r w:rsidRPr="00600DFC">
        <w:t>.</w:t>
      </w:r>
    </w:p>
    <w:p w14:paraId="46D064ED" w14:textId="77777777" w:rsidR="00600DFC" w:rsidRPr="00600DFC" w:rsidRDefault="00600DFC" w:rsidP="00600DFC">
      <w:pPr>
        <w:numPr>
          <w:ilvl w:val="0"/>
          <w:numId w:val="5"/>
        </w:numPr>
      </w:pPr>
      <w:r w:rsidRPr="00600DFC">
        <w:t>Without clear guidance, diversity may still continue.</w:t>
      </w:r>
    </w:p>
    <w:p w14:paraId="398FEF86" w14:textId="1BF041E3" w:rsidR="00600DFC" w:rsidRPr="00600DFC" w:rsidRDefault="00600DFC" w:rsidP="00600DFC">
      <w:r w:rsidRPr="00600DFC">
        <w:rPr>
          <w:b/>
          <w:bCs/>
        </w:rPr>
        <w:t>Recommendation:</w:t>
      </w:r>
      <w:r w:rsidRPr="00600DFC">
        <w:t> Add </w:t>
      </w:r>
      <w:r w:rsidRPr="00600DFC">
        <w:rPr>
          <w:b/>
          <w:bCs/>
        </w:rPr>
        <w:t>implementation guidance + examples</w:t>
      </w:r>
      <w:r w:rsidRPr="00600DFC">
        <w:t> to ensure consistent application across industries (especially insurance sector).</w:t>
      </w:r>
    </w:p>
    <w:p w14:paraId="61E4B6F4" w14:textId="77777777" w:rsidR="00600DFC" w:rsidRPr="00600DFC" w:rsidRDefault="00600DFC" w:rsidP="00600DFC"/>
    <w:p w14:paraId="1E4B8F3A" w14:textId="77777777" w:rsidR="00600DFC" w:rsidRPr="00600DFC" w:rsidRDefault="00600DFC" w:rsidP="00600DFC">
      <w:r w:rsidRPr="00600DFC">
        <w:t xml:space="preserve">Warm Regards.                   </w:t>
      </w:r>
      <w:r w:rsidRPr="00600DFC">
        <w:br/>
      </w:r>
      <w:r w:rsidRPr="00600DFC">
        <w:br/>
      </w:r>
      <w:r w:rsidRPr="00600DFC">
        <w:rPr>
          <w:b/>
          <w:bCs/>
        </w:rPr>
        <w:t>CA. Amol Godha,Chairman     </w:t>
      </w:r>
      <w:r w:rsidRPr="00600DFC">
        <w:t>Cell No. </w:t>
      </w:r>
      <w:r w:rsidRPr="00600DFC">
        <w:rPr>
          <w:b/>
          <w:bCs/>
        </w:rPr>
        <w:t xml:space="preserve"> 9372344131 </w:t>
      </w:r>
      <w:r w:rsidRPr="00600DFC">
        <w:t> </w:t>
      </w:r>
      <w:r w:rsidRPr="00600DFC">
        <w:rPr>
          <w:b/>
          <w:bCs/>
        </w:rPr>
        <w:t>           </w:t>
      </w:r>
    </w:p>
    <w:p w14:paraId="626BBE9B" w14:textId="13378CE4" w:rsidR="00600DFC" w:rsidRPr="00600DFC" w:rsidRDefault="00600DFC" w:rsidP="00600DFC">
      <w:r w:rsidRPr="00600DFC">
        <w:rPr>
          <w:b/>
          <w:bCs/>
        </w:rPr>
        <w:t>CA Rafeeque Pathan, Secretary </w:t>
      </w:r>
      <w:r w:rsidRPr="00600DFC">
        <w:t>Cell No. </w:t>
      </w:r>
      <w:r w:rsidRPr="00600DFC">
        <w:rPr>
          <w:b/>
          <w:bCs/>
        </w:rPr>
        <w:t> 9673330786</w:t>
      </w:r>
    </w:p>
    <w:p w14:paraId="5A7C3040" w14:textId="77777777" w:rsidR="00600DFC" w:rsidRPr="00600DFC" w:rsidRDefault="00600DFC" w:rsidP="00600DFC">
      <w:r w:rsidRPr="00600DFC">
        <w:rPr>
          <w:b/>
          <w:bCs/>
        </w:rPr>
        <w:t>Chhatrapati Sambhajinagar (Aurangabad) Branch of WIRC of ICAI</w:t>
      </w:r>
      <w:r w:rsidRPr="00600DFC">
        <w:br/>
        <w:t>Gut no 72, Beside MIT College, Beed By Pass Road, </w:t>
      </w:r>
    </w:p>
    <w:p w14:paraId="0C6E37AB" w14:textId="6371B316" w:rsidR="00B62FC1" w:rsidRDefault="00600DFC">
      <w:r w:rsidRPr="00600DFC">
        <w:t>Chhatrapati Sambhajinagar (Aurangabad) MS-431005</w:t>
      </w:r>
      <w:r w:rsidRPr="00600DFC">
        <w:br/>
        <w:t>Branch Phone No. 9970588885 (Whatsapp)</w:t>
      </w:r>
    </w:p>
    <w:sectPr w:rsidR="00B62F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D0D17"/>
    <w:multiLevelType w:val="multilevel"/>
    <w:tmpl w:val="B2782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E0569F"/>
    <w:multiLevelType w:val="multilevel"/>
    <w:tmpl w:val="94B44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9D7FD3"/>
    <w:multiLevelType w:val="multilevel"/>
    <w:tmpl w:val="3C121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802C8E"/>
    <w:multiLevelType w:val="multilevel"/>
    <w:tmpl w:val="DB388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93A3040"/>
    <w:multiLevelType w:val="multilevel"/>
    <w:tmpl w:val="95624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40740062">
    <w:abstractNumId w:val="3"/>
  </w:num>
  <w:num w:numId="2" w16cid:durableId="490752924">
    <w:abstractNumId w:val="1"/>
  </w:num>
  <w:num w:numId="3" w16cid:durableId="1939481904">
    <w:abstractNumId w:val="2"/>
  </w:num>
  <w:num w:numId="4" w16cid:durableId="950546761">
    <w:abstractNumId w:val="4"/>
  </w:num>
  <w:num w:numId="5" w16cid:durableId="1674188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CEA"/>
    <w:rsid w:val="00600DFC"/>
    <w:rsid w:val="007A0CEA"/>
    <w:rsid w:val="009D5DDB"/>
    <w:rsid w:val="00B62FC1"/>
    <w:rsid w:val="00B94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16F975"/>
  <w15:chartTrackingRefBased/>
  <w15:docId w15:val="{26C96017-A3FC-438F-9E93-0DC691295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0C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0C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0C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0C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0C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0C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0C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0C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0C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0C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0C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0C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0C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0C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0C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0C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0C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0C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0C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0C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0C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0C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0C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0C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0C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0C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0C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0C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0CE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449</Words>
  <Characters>2432</Characters>
  <Application>Microsoft Office Word</Application>
  <DocSecurity>0</DocSecurity>
  <Lines>40</Lines>
  <Paragraphs>13</Paragraphs>
  <ScaleCrop>false</ScaleCrop>
  <Company/>
  <LinksUpToDate>false</LinksUpToDate>
  <CharactersWithSpaces>2868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asb@icai.in</dc:creator>
  <cp:keywords/>
  <dc:description/>
  <cp:lastModifiedBy>asb@icai.in</cp:lastModifiedBy>
  <cp:revision>2</cp:revision>
  <dcterms:created xsi:type="dcterms:W3CDTF">2026-03-19T11:19:00Z</dcterms:created>
  <dcterms:modified xsi:type="dcterms:W3CDTF">2026-03-19T11:21:00Z</dcterms:modified>
</cp:coreProperties>
</file>